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1BB" w:rsidRDefault="00C521BB" w:rsidP="00497FE9">
      <w:pPr>
        <w:tabs>
          <w:tab w:val="center" w:pos="4320"/>
          <w:tab w:val="right" w:pos="8640"/>
        </w:tabs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</w:pPr>
    </w:p>
    <w:p w:rsidR="00C521BB" w:rsidRDefault="00C521BB" w:rsidP="00497FE9">
      <w:pPr>
        <w:contextualSpacing/>
        <w:jc w:val="center"/>
      </w:pPr>
    </w:p>
    <w:p w:rsidR="00C521BB" w:rsidRDefault="002519FB" w:rsidP="00497FE9">
      <w:pPr>
        <w:contextualSpacing/>
        <w:jc w:val="center"/>
      </w:pPr>
      <w:r>
        <w:t>Standardized Screening Assessment Chart and Essay</w:t>
      </w:r>
    </w:p>
    <w:p w:rsidR="00C521BB" w:rsidRDefault="00C521BB" w:rsidP="00497FE9">
      <w:pPr>
        <w:contextualSpacing/>
        <w:jc w:val="center"/>
      </w:pPr>
    </w:p>
    <w:p w:rsidR="00C521BB" w:rsidRDefault="002519FB" w:rsidP="00497FE9">
      <w:pPr>
        <w:contextualSpacing/>
        <w:jc w:val="center"/>
      </w:pPr>
      <w:r>
        <w:t>Unit 4</w:t>
      </w:r>
    </w:p>
    <w:p w:rsidR="00C521BB" w:rsidRDefault="00C521BB" w:rsidP="00497FE9">
      <w:pPr>
        <w:contextualSpacing/>
        <w:jc w:val="center"/>
      </w:pPr>
    </w:p>
    <w:p w:rsidR="00C521BB" w:rsidRDefault="002519FB" w:rsidP="00497FE9">
      <w:pPr>
        <w:contextualSpacing/>
        <w:jc w:val="center"/>
      </w:pPr>
      <w:r>
        <w:t>CE300-</w:t>
      </w:r>
      <w:r>
        <w:rPr>
          <w:color w:val="FF0000"/>
        </w:rPr>
        <w:t>(add your course section)</w:t>
      </w:r>
    </w:p>
    <w:p w:rsidR="00C521BB" w:rsidRDefault="00C521BB" w:rsidP="00497FE9">
      <w:pPr>
        <w:contextualSpacing/>
        <w:jc w:val="center"/>
      </w:pPr>
    </w:p>
    <w:p w:rsidR="00C521BB" w:rsidRDefault="002519FB" w:rsidP="00497FE9">
      <w:pPr>
        <w:contextualSpacing/>
        <w:jc w:val="center"/>
        <w:rPr>
          <w:color w:val="FF0000"/>
        </w:rPr>
      </w:pPr>
      <w:r>
        <w:rPr>
          <w:color w:val="FF0000"/>
        </w:rPr>
        <w:t>(Name of Student)</w:t>
      </w: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C521BB" w:rsidP="00497FE9">
      <w:pPr>
        <w:contextualSpacing/>
        <w:jc w:val="center"/>
        <w:rPr>
          <w:color w:val="FF0000"/>
        </w:rPr>
      </w:pPr>
    </w:p>
    <w:p w:rsidR="00C521BB" w:rsidRDefault="002519FB" w:rsidP="00497FE9">
      <w:pPr>
        <w:contextualSpacing/>
        <w:rPr>
          <w:b/>
        </w:rPr>
      </w:pPr>
      <w:r>
        <w:rPr>
          <w:b/>
        </w:rPr>
        <w:t xml:space="preserve">Part </w:t>
      </w:r>
      <w:r w:rsidR="00B61F8D">
        <w:rPr>
          <w:b/>
        </w:rPr>
        <w:t>1</w:t>
      </w:r>
    </w:p>
    <w:p w:rsidR="00C521BB" w:rsidRDefault="002519FB" w:rsidP="00497FE9">
      <w:pPr>
        <w:contextualSpacing/>
      </w:pPr>
      <w:r>
        <w:t xml:space="preserve">Age of target child in months: </w:t>
      </w:r>
    </w:p>
    <w:p w:rsidR="00C521BB" w:rsidRDefault="00C521BB" w:rsidP="00497FE9">
      <w:pPr>
        <w:contextualSpacing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04"/>
        <w:gridCol w:w="2020"/>
        <w:gridCol w:w="2107"/>
      </w:tblGrid>
      <w:tr w:rsidR="00767F01" w:rsidTr="00B61F8D">
        <w:trPr>
          <w:trHeight w:val="82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21BB" w:rsidRDefault="002519FB" w:rsidP="00497FE9">
            <w:pPr>
              <w:contextualSpacing/>
              <w:jc w:val="center"/>
            </w:pPr>
            <w:r>
              <w:t xml:space="preserve">Standardized Screening </w:t>
            </w:r>
          </w:p>
          <w:p w:rsidR="00C521BB" w:rsidRDefault="002519FB" w:rsidP="00497FE9">
            <w:pPr>
              <w:contextualSpacing/>
              <w:jc w:val="center"/>
            </w:pPr>
            <w:r>
              <w:t xml:space="preserve">Assessment Title </w:t>
            </w:r>
          </w:p>
        </w:tc>
        <w:tc>
          <w:tcPr>
            <w:tcW w:w="2704" w:type="dxa"/>
            <w:tcBorders>
              <w:top w:val="single" w:sz="4" w:space="0" w:color="000000"/>
            </w:tcBorders>
            <w:vAlign w:val="center"/>
          </w:tcPr>
          <w:p w:rsidR="00C521BB" w:rsidRDefault="002519FB" w:rsidP="00497FE9">
            <w:pPr>
              <w:contextualSpacing/>
              <w:jc w:val="center"/>
            </w:pPr>
            <w:r>
              <w:t>Developmental Domain(s) Covered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:rsidR="00C521BB" w:rsidRDefault="00C521BB" w:rsidP="00497FE9">
            <w:pPr>
              <w:contextualSpacing/>
              <w:jc w:val="center"/>
            </w:pPr>
          </w:p>
          <w:p w:rsidR="00C521BB" w:rsidRDefault="002519FB" w:rsidP="00497FE9">
            <w:pPr>
              <w:contextualSpacing/>
              <w:jc w:val="center"/>
            </w:pPr>
            <w:r>
              <w:t>Age Range</w:t>
            </w:r>
          </w:p>
        </w:tc>
        <w:tc>
          <w:tcPr>
            <w:tcW w:w="2107" w:type="dxa"/>
            <w:tcBorders>
              <w:top w:val="single" w:sz="4" w:space="0" w:color="000000"/>
            </w:tcBorders>
            <w:vAlign w:val="center"/>
          </w:tcPr>
          <w:p w:rsidR="00C521BB" w:rsidRDefault="00C521BB" w:rsidP="00497FE9">
            <w:pPr>
              <w:contextualSpacing/>
              <w:jc w:val="center"/>
            </w:pPr>
          </w:p>
          <w:p w:rsidR="00C521BB" w:rsidRDefault="002519FB" w:rsidP="00497FE9">
            <w:pPr>
              <w:contextualSpacing/>
              <w:jc w:val="center"/>
            </w:pPr>
            <w:r>
              <w:t>Purpose of the Screening</w:t>
            </w:r>
          </w:p>
        </w:tc>
      </w:tr>
      <w:tr w:rsidR="00767F01">
        <w:trPr>
          <w:trHeight w:val="2360"/>
        </w:trPr>
        <w:tc>
          <w:tcPr>
            <w:tcW w:w="274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521BB" w:rsidRDefault="002519FB" w:rsidP="00497FE9">
            <w:pPr>
              <w:contextualSpacing/>
            </w:pPr>
            <w:r>
              <w:t xml:space="preserve">Brigance preschool screen </w:t>
            </w:r>
          </w:p>
        </w:tc>
        <w:tc>
          <w:tcPr>
            <w:tcW w:w="270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C521BB" w:rsidRDefault="002519FB" w:rsidP="00497FE9">
            <w:pPr>
              <w:contextualSpacing/>
              <w:jc w:val="center"/>
            </w:pPr>
            <w:r>
              <w:t>Self-help</w:t>
            </w:r>
          </w:p>
          <w:p w:rsidR="007324E7" w:rsidRDefault="002519FB" w:rsidP="00497FE9">
            <w:pPr>
              <w:contextualSpacing/>
              <w:jc w:val="center"/>
            </w:pPr>
            <w:r>
              <w:t>Receptive language</w:t>
            </w:r>
          </w:p>
          <w:p w:rsidR="007324E7" w:rsidRDefault="002519FB" w:rsidP="00497FE9">
            <w:pPr>
              <w:contextualSpacing/>
              <w:jc w:val="center"/>
            </w:pPr>
            <w:r>
              <w:t xml:space="preserve">Pre-academics </w:t>
            </w:r>
          </w:p>
          <w:p w:rsidR="007324E7" w:rsidRDefault="002519FB" w:rsidP="00497FE9">
            <w:pPr>
              <w:contextualSpacing/>
              <w:jc w:val="center"/>
            </w:pPr>
            <w:r>
              <w:t xml:space="preserve">Social-emotional skills </w:t>
            </w:r>
          </w:p>
          <w:p w:rsidR="007324E7" w:rsidRDefault="002519FB" w:rsidP="00497FE9">
            <w:pPr>
              <w:contextualSpacing/>
              <w:jc w:val="center"/>
            </w:pPr>
            <w:r>
              <w:t>Expressive language</w:t>
            </w:r>
          </w:p>
          <w:p w:rsidR="007324E7" w:rsidRDefault="002519FB" w:rsidP="00497FE9">
            <w:pPr>
              <w:contextualSpacing/>
              <w:jc w:val="center"/>
            </w:pPr>
            <w:r>
              <w:t>Fine motor</w:t>
            </w:r>
          </w:p>
          <w:p w:rsidR="007324E7" w:rsidRDefault="007324E7" w:rsidP="00497FE9">
            <w:pPr>
              <w:contextualSpacing/>
              <w:jc w:val="center"/>
            </w:pPr>
          </w:p>
        </w:tc>
        <w:tc>
          <w:tcPr>
            <w:tcW w:w="2020" w:type="dxa"/>
          </w:tcPr>
          <w:p w:rsidR="00C521BB" w:rsidRPr="007324E7" w:rsidRDefault="002519FB" w:rsidP="00497FE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birth to 1</w:t>
            </w:r>
            <w:r w:rsidRPr="007324E7">
              <w:rPr>
                <w:color w:val="auto"/>
                <w:vertAlign w:val="superscript"/>
              </w:rPr>
              <w:t>st</w:t>
            </w:r>
            <w:r>
              <w:rPr>
                <w:color w:val="auto"/>
              </w:rPr>
              <w:t xml:space="preserve"> grade</w:t>
            </w:r>
          </w:p>
        </w:tc>
        <w:tc>
          <w:tcPr>
            <w:tcW w:w="2107" w:type="dxa"/>
          </w:tcPr>
          <w:p w:rsidR="00C521BB" w:rsidRPr="00703485" w:rsidRDefault="002519FB" w:rsidP="00497FE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It aims to identify kids who may have developmental challenges, for example, learning disabilities and language impairment.</w:t>
            </w:r>
          </w:p>
        </w:tc>
      </w:tr>
      <w:tr w:rsidR="00767F01">
        <w:trPr>
          <w:trHeight w:val="2360"/>
        </w:trPr>
        <w:tc>
          <w:tcPr>
            <w:tcW w:w="274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703485" w:rsidRDefault="002519FB" w:rsidP="00497FE9">
            <w:pPr>
              <w:contextualSpacing/>
            </w:pPr>
            <w:r>
              <w:t>Learning accomplishment profile-diagnostic screens</w:t>
            </w:r>
          </w:p>
        </w:tc>
        <w:tc>
          <w:tcPr>
            <w:tcW w:w="270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703485" w:rsidRDefault="002519FB" w:rsidP="00497FE9">
            <w:pPr>
              <w:contextualSpacing/>
              <w:jc w:val="center"/>
            </w:pPr>
            <w:r>
              <w:t>Language</w:t>
            </w:r>
          </w:p>
          <w:p w:rsidR="00703485" w:rsidRDefault="002519FB" w:rsidP="00497FE9">
            <w:pPr>
              <w:contextualSpacing/>
              <w:jc w:val="center"/>
            </w:pPr>
            <w:r>
              <w:t>Cognitive</w:t>
            </w:r>
          </w:p>
          <w:p w:rsidR="00703485" w:rsidRDefault="002519FB" w:rsidP="00497FE9">
            <w:pPr>
              <w:contextualSpacing/>
              <w:jc w:val="center"/>
            </w:pPr>
            <w:r>
              <w:t xml:space="preserve">Gross motor </w:t>
            </w:r>
          </w:p>
          <w:p w:rsidR="00703485" w:rsidRDefault="002519FB" w:rsidP="00497FE9">
            <w:pPr>
              <w:contextualSpacing/>
              <w:jc w:val="center"/>
            </w:pPr>
            <w:r>
              <w:t>Fine motor</w:t>
            </w:r>
          </w:p>
        </w:tc>
        <w:tc>
          <w:tcPr>
            <w:tcW w:w="2020" w:type="dxa"/>
          </w:tcPr>
          <w:p w:rsidR="00703485" w:rsidRDefault="002519FB" w:rsidP="00497FE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2-5 years</w:t>
            </w:r>
          </w:p>
        </w:tc>
        <w:tc>
          <w:tcPr>
            <w:tcW w:w="2107" w:type="dxa"/>
          </w:tcPr>
          <w:p w:rsidR="00703485" w:rsidRDefault="002519FB" w:rsidP="00497FE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Utilized to determine whether the kid might be at risk for diverse development delay. In this assessment, the kid's scores in evaluation are compared to the children's group scores.</w:t>
            </w:r>
          </w:p>
        </w:tc>
      </w:tr>
      <w:tr w:rsidR="00767F01">
        <w:trPr>
          <w:trHeight w:val="2360"/>
        </w:trPr>
        <w:tc>
          <w:tcPr>
            <w:tcW w:w="274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703485" w:rsidRDefault="002519FB" w:rsidP="00497FE9">
            <w:pPr>
              <w:contextualSpacing/>
            </w:pPr>
            <w:r>
              <w:t>Denver II</w:t>
            </w:r>
          </w:p>
        </w:tc>
        <w:tc>
          <w:tcPr>
            <w:tcW w:w="270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703485" w:rsidRDefault="002519FB" w:rsidP="00497FE9">
            <w:pPr>
              <w:contextualSpacing/>
              <w:jc w:val="center"/>
            </w:pPr>
            <w:r>
              <w:t>Gross motor</w:t>
            </w:r>
          </w:p>
          <w:p w:rsidR="00945F1D" w:rsidRDefault="002519FB" w:rsidP="00497FE9">
            <w:pPr>
              <w:contextualSpacing/>
              <w:jc w:val="center"/>
            </w:pPr>
            <w:r>
              <w:t>Fine motor-adaptive</w:t>
            </w:r>
          </w:p>
          <w:p w:rsidR="00945F1D" w:rsidRDefault="002519FB" w:rsidP="00497FE9">
            <w:pPr>
              <w:contextualSpacing/>
              <w:jc w:val="center"/>
            </w:pPr>
            <w:r>
              <w:t>Personal-social</w:t>
            </w:r>
          </w:p>
          <w:p w:rsidR="00945F1D" w:rsidRDefault="002519FB" w:rsidP="00497FE9">
            <w:pPr>
              <w:contextualSpacing/>
              <w:jc w:val="center"/>
            </w:pPr>
            <w:r>
              <w:t>language</w:t>
            </w:r>
          </w:p>
        </w:tc>
        <w:tc>
          <w:tcPr>
            <w:tcW w:w="2020" w:type="dxa"/>
          </w:tcPr>
          <w:p w:rsidR="00703485" w:rsidRDefault="002519FB" w:rsidP="00497FE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0mos.to 6 years</w:t>
            </w:r>
          </w:p>
        </w:tc>
        <w:tc>
          <w:tcPr>
            <w:tcW w:w="2107" w:type="dxa"/>
          </w:tcPr>
          <w:p w:rsidR="00703485" w:rsidRDefault="002519FB" w:rsidP="00497FE9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Used to examine kid’s ability on appropriate activities that indicate delay. Such assessment measures kid’s ability to other children belonging to the same age.</w:t>
            </w:r>
          </w:p>
        </w:tc>
      </w:tr>
    </w:tbl>
    <w:p w:rsidR="00C521BB" w:rsidRDefault="00C521BB" w:rsidP="00497FE9">
      <w:pPr>
        <w:spacing w:before="100" w:after="280" w:line="480" w:lineRule="auto"/>
        <w:contextualSpacing/>
        <w:jc w:val="center"/>
      </w:pPr>
    </w:p>
    <w:p w:rsidR="00C521BB" w:rsidRDefault="002519FB" w:rsidP="00497FE9">
      <w:pPr>
        <w:spacing w:after="280" w:line="480" w:lineRule="auto"/>
        <w:contextualSpacing/>
        <w:rPr>
          <w:b/>
        </w:rPr>
      </w:pPr>
      <w:r>
        <w:rPr>
          <w:b/>
        </w:rPr>
        <w:t xml:space="preserve">Part </w:t>
      </w:r>
      <w:r w:rsidR="00B61F8D">
        <w:rPr>
          <w:b/>
        </w:rPr>
        <w:t>2</w:t>
      </w:r>
    </w:p>
    <w:p w:rsidR="00945F1D" w:rsidRDefault="002519FB" w:rsidP="00497FE9">
      <w:pPr>
        <w:spacing w:after="280" w:line="480" w:lineRule="auto"/>
        <w:contextualSpacing/>
        <w:rPr>
          <w:color w:val="auto"/>
        </w:rPr>
      </w:pPr>
      <w:r>
        <w:rPr>
          <w:color w:val="FF0000"/>
        </w:rPr>
        <w:tab/>
      </w:r>
      <w:r>
        <w:rPr>
          <w:color w:val="auto"/>
        </w:rPr>
        <w:t xml:space="preserve">The scenario handles being a boss at </w:t>
      </w:r>
      <w:r w:rsidR="00497FE9">
        <w:rPr>
          <w:color w:val="auto"/>
        </w:rPr>
        <w:t>an</w:t>
      </w:r>
      <w:r>
        <w:rPr>
          <w:color w:val="auto"/>
        </w:rPr>
        <w:t xml:space="preserve"> early childhood organization and introducing new ways to assess and screen the pre-K class to promote the kids in </w:t>
      </w:r>
      <w:r w:rsidR="00497FE9">
        <w:rPr>
          <w:color w:val="auto"/>
        </w:rPr>
        <w:t>kindergarten. Through</w:t>
      </w:r>
      <w:r w:rsidR="00B27957">
        <w:rPr>
          <w:color w:val="auto"/>
        </w:rPr>
        <w:t xml:space="preserve"> expectations, such roles consist of inherited </w:t>
      </w:r>
      <w:r w:rsidR="00497FE9">
        <w:rPr>
          <w:color w:val="auto"/>
        </w:rPr>
        <w:t>practices</w:t>
      </w:r>
      <w:r w:rsidR="00B27957">
        <w:rPr>
          <w:color w:val="auto"/>
        </w:rPr>
        <w:t xml:space="preserve"> and customs among the parents and staff. As a trained professional assigned to a management position, the primary duties </w:t>
      </w:r>
      <w:r w:rsidR="00497FE9">
        <w:rPr>
          <w:color w:val="auto"/>
        </w:rPr>
        <w:t>include bringing</w:t>
      </w:r>
      <w:r w:rsidR="00B27957">
        <w:rPr>
          <w:color w:val="auto"/>
        </w:rPr>
        <w:t xml:space="preserve"> positive changes to the center's </w:t>
      </w:r>
      <w:r w:rsidR="001A7B22" w:rsidRPr="001A7B22">
        <w:rPr>
          <w:color w:val="auto"/>
        </w:rPr>
        <w:t xml:space="preserve">standard </w:t>
      </w:r>
      <w:r w:rsidR="001A7B22" w:rsidRPr="001A7B22">
        <w:rPr>
          <w:color w:val="auto"/>
          <w:shd w:val="clear" w:color="auto" w:fill="FFFFFF"/>
        </w:rPr>
        <w:t>(Carter &amp; DelCarmen-Wiggins, 2019)</w:t>
      </w:r>
      <w:r w:rsidR="00497FE9" w:rsidRPr="001A7B22">
        <w:rPr>
          <w:color w:val="auto"/>
        </w:rPr>
        <w:t>. The</w:t>
      </w:r>
      <w:r w:rsidR="00B27957" w:rsidRPr="001A7B22">
        <w:rPr>
          <w:color w:val="auto"/>
        </w:rPr>
        <w:t xml:space="preserve"> </w:t>
      </w:r>
      <w:r w:rsidR="00B27957">
        <w:rPr>
          <w:color w:val="auto"/>
        </w:rPr>
        <w:t xml:space="preserve">best way to approach such a situation is through incorporating changes cautiously. As per the current situation, the organization utilizes a portfolio-based assessment </w:t>
      </w:r>
      <w:r w:rsidR="00497FE9">
        <w:rPr>
          <w:color w:val="auto"/>
        </w:rPr>
        <w:t>policy. The</w:t>
      </w:r>
      <w:r w:rsidR="00B27957">
        <w:rPr>
          <w:color w:val="auto"/>
        </w:rPr>
        <w:t xml:space="preserve"> approach, as mentioned earlier, used in measuring performance is focused mainly on students.</w:t>
      </w:r>
    </w:p>
    <w:p w:rsidR="00471EFA" w:rsidRDefault="002519FB" w:rsidP="00497FE9">
      <w:pPr>
        <w:spacing w:after="280" w:line="480" w:lineRule="auto"/>
        <w:ind w:firstLine="720"/>
        <w:contextualSpacing/>
        <w:rPr>
          <w:color w:val="auto"/>
        </w:rPr>
      </w:pPr>
      <w:r>
        <w:rPr>
          <w:color w:val="auto"/>
        </w:rPr>
        <w:t xml:space="preserve">To become a respected and efficient director, </w:t>
      </w:r>
      <w:r w:rsidR="00CA5406">
        <w:rPr>
          <w:color w:val="auto"/>
        </w:rPr>
        <w:t xml:space="preserve">one must </w:t>
      </w:r>
      <w:r w:rsidR="00497FE9">
        <w:rPr>
          <w:color w:val="auto"/>
        </w:rPr>
        <w:t>understand the</w:t>
      </w:r>
      <w:r w:rsidR="00CA5406">
        <w:rPr>
          <w:color w:val="auto"/>
        </w:rPr>
        <w:t xml:space="preserve"> values</w:t>
      </w:r>
      <w:r w:rsidR="00497FE9">
        <w:rPr>
          <w:color w:val="auto"/>
        </w:rPr>
        <w:t>, philosophies, experiences</w:t>
      </w:r>
      <w:r w:rsidR="00CA5406">
        <w:rPr>
          <w:color w:val="auto"/>
        </w:rPr>
        <w:t xml:space="preserve">, and expectations of the organization if one expects support and cooperation from the </w:t>
      </w:r>
      <w:r w:rsidR="00497FE9">
        <w:rPr>
          <w:color w:val="auto"/>
        </w:rPr>
        <w:t>staff. A</w:t>
      </w:r>
      <w:r w:rsidR="00CA5406">
        <w:rPr>
          <w:color w:val="auto"/>
        </w:rPr>
        <w:t xml:space="preserve"> primary aspect to consider is being </w:t>
      </w:r>
      <w:r w:rsidR="00497FE9">
        <w:rPr>
          <w:color w:val="auto"/>
        </w:rPr>
        <w:t>patient. Such</w:t>
      </w:r>
      <w:r w:rsidR="00CA5406">
        <w:rPr>
          <w:color w:val="auto"/>
        </w:rPr>
        <w:t xml:space="preserve"> part r</w:t>
      </w:r>
      <w:r>
        <w:rPr>
          <w:color w:val="auto"/>
        </w:rPr>
        <w:t xml:space="preserve">emains to be crucial in interacting with the parents and staff of the </w:t>
      </w:r>
      <w:r w:rsidR="00497FE9">
        <w:rPr>
          <w:color w:val="auto"/>
        </w:rPr>
        <w:t>center. Besides</w:t>
      </w:r>
      <w:r>
        <w:rPr>
          <w:color w:val="auto"/>
        </w:rPr>
        <w:t xml:space="preserve">, before making massive changes to the center, it is essential to observe its </w:t>
      </w:r>
      <w:r w:rsidR="00497FE9">
        <w:rPr>
          <w:color w:val="auto"/>
        </w:rPr>
        <w:t>operation. Being</w:t>
      </w:r>
      <w:r>
        <w:rPr>
          <w:color w:val="auto"/>
        </w:rPr>
        <w:t xml:space="preserve"> observative will enable the director to identify the worthy practices since massive changes will cause </w:t>
      </w:r>
      <w:r w:rsidR="00497FE9">
        <w:rPr>
          <w:color w:val="auto"/>
        </w:rPr>
        <w:t>resentment, frustration</w:t>
      </w:r>
      <w:r>
        <w:rPr>
          <w:color w:val="auto"/>
        </w:rPr>
        <w:t xml:space="preserve">, and confusion on parents and </w:t>
      </w:r>
      <w:r w:rsidR="001A7B22" w:rsidRPr="001A7B22">
        <w:rPr>
          <w:color w:val="auto"/>
        </w:rPr>
        <w:t xml:space="preserve">staff </w:t>
      </w:r>
      <w:r w:rsidR="001A7B22" w:rsidRPr="001A7B22">
        <w:rPr>
          <w:color w:val="auto"/>
          <w:shd w:val="clear" w:color="auto" w:fill="FFFFFF"/>
        </w:rPr>
        <w:t>(Fiore, 2020)</w:t>
      </w:r>
      <w:r w:rsidRPr="001A7B22">
        <w:rPr>
          <w:color w:val="auto"/>
        </w:rPr>
        <w:t>.</w:t>
      </w:r>
    </w:p>
    <w:p w:rsidR="00B27957" w:rsidRDefault="002519FB" w:rsidP="00497FE9">
      <w:pPr>
        <w:spacing w:after="280" w:line="480" w:lineRule="auto"/>
        <w:contextualSpacing/>
        <w:rPr>
          <w:color w:val="auto"/>
        </w:rPr>
      </w:pPr>
      <w:r>
        <w:rPr>
          <w:color w:val="auto"/>
        </w:rPr>
        <w:tab/>
        <w:t xml:space="preserve">After the crucial </w:t>
      </w:r>
      <w:r w:rsidR="00497FE9">
        <w:rPr>
          <w:color w:val="auto"/>
        </w:rPr>
        <w:t>assessment, the</w:t>
      </w:r>
      <w:r>
        <w:rPr>
          <w:color w:val="auto"/>
        </w:rPr>
        <w:t xml:space="preserve"> first step </w:t>
      </w:r>
      <w:r w:rsidR="00B50C39">
        <w:rPr>
          <w:color w:val="auto"/>
        </w:rPr>
        <w:t xml:space="preserve">will be to arrange a staff meeting to outline which old culture will continue and introduce the new </w:t>
      </w:r>
      <w:r w:rsidR="00497FE9">
        <w:rPr>
          <w:color w:val="auto"/>
        </w:rPr>
        <w:t>ones. The</w:t>
      </w:r>
      <w:r w:rsidR="00B50C39">
        <w:rPr>
          <w:color w:val="auto"/>
        </w:rPr>
        <w:t xml:space="preserve"> next step will be to explain the benefits of </w:t>
      </w:r>
      <w:r w:rsidR="00497FE9">
        <w:rPr>
          <w:color w:val="auto"/>
        </w:rPr>
        <w:t>standardized</w:t>
      </w:r>
      <w:r w:rsidR="00B50C39">
        <w:rPr>
          <w:color w:val="auto"/>
        </w:rPr>
        <w:t xml:space="preserve"> screening assessment and the portfolio assessment that will help the center and the kids succeed. It will be crucial to set aside certification-based training days to allow the teachers to learn the new </w:t>
      </w:r>
      <w:r w:rsidR="00497FE9">
        <w:rPr>
          <w:color w:val="auto"/>
        </w:rPr>
        <w:t>system. The</w:t>
      </w:r>
      <w:r w:rsidR="00B50C39">
        <w:rPr>
          <w:color w:val="auto"/>
        </w:rPr>
        <w:t xml:space="preserve"> acquired knowledge will assist in augmenting teacher's professional </w:t>
      </w:r>
      <w:r w:rsidR="00497FE9">
        <w:rPr>
          <w:color w:val="auto"/>
        </w:rPr>
        <w:t>credentials. The</w:t>
      </w:r>
      <w:r w:rsidR="00B50C39">
        <w:rPr>
          <w:color w:val="auto"/>
        </w:rPr>
        <w:t xml:space="preserve"> other step will be setting up </w:t>
      </w:r>
      <w:r w:rsidR="00497FE9">
        <w:rPr>
          <w:color w:val="auto"/>
        </w:rPr>
        <w:t>parent</w:t>
      </w:r>
      <w:r w:rsidR="00B50C39">
        <w:rPr>
          <w:color w:val="auto"/>
        </w:rPr>
        <w:t xml:space="preserve"> meetings to introduce the latest assessment and offer a chance for question and answer sections to erase the doubt and </w:t>
      </w:r>
      <w:r w:rsidR="00497FE9">
        <w:rPr>
          <w:color w:val="auto"/>
        </w:rPr>
        <w:t xml:space="preserve">suspicions. I will conclude by stating that changing the norms may be challenging; however, the children and staff's interest is will be a valuable </w:t>
      </w:r>
      <w:r w:rsidR="001A7B22">
        <w:rPr>
          <w:color w:val="auto"/>
        </w:rPr>
        <w:t xml:space="preserve">investment </w:t>
      </w:r>
      <w:r w:rsidR="001A7B22">
        <w:rPr>
          <w:rFonts w:ascii="Verdana" w:hAnsi="Verdana"/>
          <w:color w:val="333333"/>
          <w:sz w:val="21"/>
          <w:szCs w:val="21"/>
          <w:shd w:val="clear" w:color="auto" w:fill="FFFFFF"/>
        </w:rPr>
        <w:t>(</w:t>
      </w:r>
      <w:r w:rsidR="001A7B22" w:rsidRPr="001A7B22">
        <w:rPr>
          <w:color w:val="auto"/>
          <w:shd w:val="clear" w:color="auto" w:fill="FFFFFF"/>
        </w:rPr>
        <w:t>United States. Congress. Senate. Committee on Health; Education; Labor; and Pensions. Subcommittee on Children and Families, 2015)</w:t>
      </w:r>
      <w:r w:rsidR="00497FE9" w:rsidRPr="001A7B22">
        <w:rPr>
          <w:color w:val="auto"/>
        </w:rPr>
        <w:t>.</w:t>
      </w:r>
      <w:r w:rsidR="00B50C39" w:rsidRPr="001A7B22">
        <w:rPr>
          <w:color w:val="auto"/>
        </w:rPr>
        <w:t xml:space="preserve"> </w:t>
      </w:r>
      <w:r w:rsidRPr="001A7B22">
        <w:rPr>
          <w:color w:val="auto"/>
        </w:rPr>
        <w:t xml:space="preserve"> </w:t>
      </w:r>
    </w:p>
    <w:p w:rsidR="001A7B22" w:rsidRPr="00945F1D" w:rsidRDefault="001A7B22" w:rsidP="00497FE9">
      <w:pPr>
        <w:spacing w:after="280" w:line="480" w:lineRule="auto"/>
        <w:contextualSpacing/>
        <w:rPr>
          <w:color w:val="auto"/>
        </w:rPr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Default="001A7B22" w:rsidP="00497FE9">
      <w:pPr>
        <w:spacing w:after="280" w:line="480" w:lineRule="auto"/>
        <w:contextualSpacing/>
        <w:jc w:val="center"/>
      </w:pPr>
    </w:p>
    <w:p w:rsidR="001A7B22" w:rsidRPr="001A7B22" w:rsidRDefault="001A7B22" w:rsidP="001A7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color w:val="auto"/>
        </w:rPr>
      </w:pPr>
      <w:r w:rsidRPr="001A7B22">
        <w:rPr>
          <w:color w:val="auto"/>
        </w:rPr>
        <w:t>References</w:t>
      </w:r>
    </w:p>
    <w:p w:rsidR="001A7B22" w:rsidRPr="001A7B22" w:rsidRDefault="001A7B22" w:rsidP="001A7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550" w:lineRule="atLeast"/>
        <w:ind w:left="720" w:right="75" w:hanging="720"/>
        <w:rPr>
          <w:color w:val="auto"/>
        </w:rPr>
      </w:pPr>
      <w:r w:rsidRPr="001A7B22">
        <w:rPr>
          <w:color w:val="auto"/>
        </w:rPr>
        <w:t>Carter, A. S., &amp; DelCarmen-Wiggins, R. (2019). </w:t>
      </w:r>
      <w:r w:rsidRPr="001A7B22">
        <w:rPr>
          <w:i/>
          <w:iCs/>
          <w:color w:val="auto"/>
        </w:rPr>
        <w:t>The Oxford handbook of infant, toddler, and preschool mental health assessment</w:t>
      </w:r>
      <w:r w:rsidRPr="001A7B22">
        <w:rPr>
          <w:color w:val="auto"/>
        </w:rPr>
        <w:t>. Oxford Library of Psychology.</w:t>
      </w:r>
    </w:p>
    <w:p w:rsidR="001A7B22" w:rsidRPr="001A7B22" w:rsidRDefault="001A7B22" w:rsidP="001A7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550" w:lineRule="atLeast"/>
        <w:ind w:left="720" w:right="75" w:hanging="720"/>
        <w:rPr>
          <w:color w:val="auto"/>
        </w:rPr>
      </w:pPr>
      <w:r w:rsidRPr="001A7B22">
        <w:rPr>
          <w:color w:val="auto"/>
        </w:rPr>
        <w:t>Fiore, L. B. (2020). Standardized assessment. </w:t>
      </w:r>
      <w:r w:rsidRPr="001A7B22">
        <w:rPr>
          <w:i/>
          <w:iCs/>
          <w:color w:val="auto"/>
        </w:rPr>
        <w:t>Assessment of Young Children</w:t>
      </w:r>
      <w:r w:rsidRPr="001A7B22">
        <w:rPr>
          <w:color w:val="auto"/>
        </w:rPr>
        <w:t>, 94-118. doi:10.4324/9780367808709-5</w:t>
      </w:r>
    </w:p>
    <w:p w:rsidR="001A7B22" w:rsidRPr="001A7B22" w:rsidRDefault="001A7B22" w:rsidP="001A7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550" w:lineRule="atLeast"/>
        <w:ind w:left="720" w:right="75" w:hanging="720"/>
        <w:rPr>
          <w:color w:val="auto"/>
        </w:rPr>
      </w:pPr>
      <w:r w:rsidRPr="001A7B22">
        <w:rPr>
          <w:color w:val="auto"/>
        </w:rPr>
        <w:t>United States. Congress. Senate. Committee on Health; Education; Labor; and Pensions. Subcommittee on Children and Families. (2015). </w:t>
      </w:r>
      <w:r w:rsidRPr="001A7B22">
        <w:rPr>
          <w:i/>
          <w:iCs/>
          <w:color w:val="auto"/>
        </w:rPr>
        <w:t>CCDBG Reauthorization: Helping to meet the child care needs of American families : Hearing before the subcommittee on children and families of the committee on health, education, labor, and pensions, United States Senate, one hundred twelfth Congress, second session ... July 26, 2012</w:t>
      </w:r>
      <w:r w:rsidRPr="001A7B22">
        <w:rPr>
          <w:color w:val="auto"/>
        </w:rPr>
        <w:t>.</w:t>
      </w:r>
    </w:p>
    <w:p w:rsidR="001A7B22" w:rsidRPr="001A7B22" w:rsidRDefault="001A7B22" w:rsidP="00497FE9">
      <w:pPr>
        <w:spacing w:after="280" w:line="480" w:lineRule="auto"/>
        <w:contextualSpacing/>
        <w:jc w:val="center"/>
        <w:rPr>
          <w:color w:val="auto"/>
        </w:rPr>
      </w:pPr>
    </w:p>
    <w:p w:rsidR="00497FE9" w:rsidRPr="001A7B22" w:rsidRDefault="00497FE9" w:rsidP="00497FE9">
      <w:pPr>
        <w:spacing w:after="280" w:line="480" w:lineRule="auto"/>
        <w:contextualSpacing/>
        <w:rPr>
          <w:color w:val="auto"/>
        </w:rPr>
      </w:pPr>
    </w:p>
    <w:sectPr w:rsidR="00497FE9" w:rsidRPr="001A7B22" w:rsidSect="00B87D09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2584" w:rsidRDefault="00B42584">
      <w:r>
        <w:separator/>
      </w:r>
    </w:p>
  </w:endnote>
  <w:endnote w:type="continuationSeparator" w:id="0">
    <w:p w:rsidR="00B42584" w:rsidRDefault="00B4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2584" w:rsidRDefault="00B42584">
      <w:r>
        <w:separator/>
      </w:r>
    </w:p>
  </w:footnote>
  <w:footnote w:type="continuationSeparator" w:id="0">
    <w:p w:rsidR="00B42584" w:rsidRDefault="00B4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1BB" w:rsidRDefault="002519FB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B87D09">
      <w:rPr>
        <w:noProof/>
      </w:rPr>
      <w:t>2</w:t>
    </w:r>
    <w:r>
      <w:fldChar w:fldCharType="end"/>
    </w:r>
  </w:p>
  <w:p w:rsidR="00C521BB" w:rsidRDefault="00C521BB">
    <w:pPr>
      <w:tabs>
        <w:tab w:val="center" w:pos="4320"/>
        <w:tab w:val="right" w:pos="864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2519FB" w:rsidP="00B87D09">
    <w:pPr>
      <w:tabs>
        <w:tab w:val="right" w:pos="9270"/>
      </w:tabs>
      <w:jc w:val="both"/>
    </w:pPr>
    <w:r w:rsidRPr="00B87D09">
      <w:rPr>
        <w:caps/>
      </w:rPr>
      <w:t>Standardized Screening Assessment</w:t>
    </w:r>
    <w:r>
      <w:tab/>
    </w:r>
    <w:r>
      <w:fldChar w:fldCharType="begin"/>
    </w:r>
    <w:r>
      <w:instrText>PAGE</w:instrText>
    </w:r>
    <w:r>
      <w:fldChar w:fldCharType="separate"/>
    </w:r>
    <w:r w:rsidR="00CE5C3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7D09" w:rsidRDefault="002519FB" w:rsidP="00B87D09">
    <w:pPr>
      <w:tabs>
        <w:tab w:val="right" w:pos="9270"/>
      </w:tabs>
      <w:jc w:val="both"/>
    </w:pPr>
    <w:r>
      <w:t xml:space="preserve">Running head: </w:t>
    </w:r>
    <w:r w:rsidRPr="00B87D09">
      <w:rPr>
        <w:caps/>
      </w:rPr>
      <w:t>Standardized Screening Assessment</w:t>
    </w:r>
    <w:r>
      <w:tab/>
    </w:r>
    <w:r>
      <w:fldChar w:fldCharType="begin"/>
    </w:r>
    <w:r>
      <w:instrText>PAGE</w:instrText>
    </w:r>
    <w:r>
      <w:fldChar w:fldCharType="separate"/>
    </w:r>
    <w:r w:rsidR="00CE5C3A">
      <w:rPr>
        <w:noProof/>
      </w:rPr>
      <w:t>1</w:t>
    </w:r>
    <w:r>
      <w:fldChar w:fldCharType="end"/>
    </w:r>
  </w:p>
  <w:p w:rsidR="00B87D09" w:rsidRDefault="00B87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BB"/>
    <w:rsid w:val="001A7B22"/>
    <w:rsid w:val="002519FB"/>
    <w:rsid w:val="00257D0F"/>
    <w:rsid w:val="00471EFA"/>
    <w:rsid w:val="00497FE9"/>
    <w:rsid w:val="00566C7B"/>
    <w:rsid w:val="00703485"/>
    <w:rsid w:val="007324E7"/>
    <w:rsid w:val="00767F01"/>
    <w:rsid w:val="00945F1D"/>
    <w:rsid w:val="00A26E2F"/>
    <w:rsid w:val="00B27957"/>
    <w:rsid w:val="00B42584"/>
    <w:rsid w:val="00B50C39"/>
    <w:rsid w:val="00B61F8D"/>
    <w:rsid w:val="00B87D09"/>
    <w:rsid w:val="00C521BB"/>
    <w:rsid w:val="00C83241"/>
    <w:rsid w:val="00CA5406"/>
    <w:rsid w:val="00CD6FE4"/>
    <w:rsid w:val="00CE5C3A"/>
    <w:rsid w:val="00DA00C0"/>
    <w:rsid w:val="00ED1581"/>
    <w:rsid w:val="00F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E7F115-D9B1-4A33-BD22-FDBC29FD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8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7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09"/>
  </w:style>
  <w:style w:type="paragraph" w:styleId="Header">
    <w:name w:val="header"/>
    <w:basedOn w:val="Normal"/>
    <w:link w:val="HeaderChar"/>
    <w:uiPriority w:val="99"/>
    <w:unhideWhenUsed/>
    <w:rsid w:val="00B87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09"/>
  </w:style>
  <w:style w:type="character" w:customStyle="1" w:styleId="gray">
    <w:name w:val="gray"/>
    <w:basedOn w:val="DefaultParagraphFont"/>
    <w:rsid w:val="001A7B22"/>
  </w:style>
  <w:style w:type="paragraph" w:styleId="NormalWeb">
    <w:name w:val="Normal (Web)"/>
    <w:basedOn w:val="Normal"/>
    <w:uiPriority w:val="99"/>
    <w:semiHidden/>
    <w:unhideWhenUsed/>
    <w:rsid w:val="001A7B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Emphasis">
    <w:name w:val="Emphasis"/>
    <w:basedOn w:val="DefaultParagraphFont"/>
    <w:uiPriority w:val="20"/>
    <w:qFormat/>
    <w:rsid w:val="001A7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nyoike31@gmail.com</cp:lastModifiedBy>
  <cp:revision>2</cp:revision>
  <dcterms:created xsi:type="dcterms:W3CDTF">2021-03-01T19:21:00Z</dcterms:created>
  <dcterms:modified xsi:type="dcterms:W3CDTF">2021-03-01T19:21:00Z</dcterms:modified>
</cp:coreProperties>
</file>